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4D" w:rsidRPr="00E66A60" w:rsidRDefault="00227A9E">
      <w:pPr>
        <w:pStyle w:val="3"/>
        <w:tabs>
          <w:tab w:val="left" w:pos="1194"/>
        </w:tabs>
        <w:spacing w:before="120" w:after="120"/>
        <w:ind w:left="834" w:hanging="720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  <w:r w:rsidRPr="00E66A60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ΤΕΧΝΙΚΕΣ ΑΠΑΙΤΗΣΕΙΣ </w:t>
      </w:r>
    </w:p>
    <w:p w:rsidR="007F1D4D" w:rsidRPr="00E66A60" w:rsidRDefault="00227A9E">
      <w:pPr>
        <w:pStyle w:val="3"/>
        <w:spacing w:after="120"/>
        <w:rPr>
          <w:rFonts w:ascii="Arial Unicode MS" w:eastAsia="Arial Unicode MS" w:hAnsi="Arial Unicode MS" w:cs="Arial Unicode MS"/>
          <w:b/>
          <w:szCs w:val="24"/>
          <w:u w:val="single"/>
        </w:rPr>
      </w:pPr>
      <w:r w:rsidRPr="00E66A60">
        <w:rPr>
          <w:rFonts w:ascii="Arial Unicode MS" w:eastAsia="Arial Unicode MS" w:hAnsi="Arial Unicode MS" w:cs="Arial Unicode MS"/>
          <w:b/>
          <w:szCs w:val="24"/>
          <w:u w:val="single"/>
        </w:rPr>
        <w:t>Αντικείμενο του έργου</w:t>
      </w:r>
    </w:p>
    <w:p w:rsidR="007F1D4D" w:rsidRPr="00E66A60" w:rsidRDefault="00227A9E">
      <w:pPr>
        <w:pStyle w:val="a3"/>
        <w:tabs>
          <w:tab w:val="left" w:pos="9637"/>
        </w:tabs>
        <w:ind w:right="-2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Παροχή υπηρεσιών ανανέωσης των αδειών και τεχνικής υποστήριξης των υφιστάμενων προϊόντων λογισμικού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που αξιοποιεί η Βουλή για τις ανάγκες λειτουργίας του Ολοκληρωμένου Πληροφοριακού της Συστήματος, για ένα (1) έτος, δηλαδή από </w:t>
      </w:r>
      <w:r w:rsidRPr="00E66A60">
        <w:rPr>
          <w:rFonts w:ascii="Arial Unicode MS" w:eastAsia="Arial Unicode MS" w:hAnsi="Arial Unicode MS" w:cs="Arial Unicode MS"/>
          <w:szCs w:val="24"/>
          <w:u w:val="single"/>
        </w:rPr>
        <w:t>1/1/2018 έως και 31/12/2018</w:t>
      </w:r>
      <w:r w:rsidRPr="00E66A60">
        <w:rPr>
          <w:rFonts w:ascii="Arial Unicode MS" w:eastAsia="Arial Unicode MS" w:hAnsi="Arial Unicode MS" w:cs="Arial Unicode MS"/>
          <w:szCs w:val="24"/>
        </w:rPr>
        <w:t>.</w:t>
      </w:r>
    </w:p>
    <w:p w:rsidR="007F1D4D" w:rsidRPr="00E66A60" w:rsidRDefault="00227A9E">
      <w:pPr>
        <w:pStyle w:val="a3"/>
        <w:tabs>
          <w:tab w:val="left" w:pos="9637"/>
        </w:tabs>
        <w:ind w:right="-2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Ακολουθεί πίνακας με τα υφιστάμενα προϊόντα λογισμικού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04"/>
        <w:gridCol w:w="6673"/>
        <w:gridCol w:w="1284"/>
        <w:gridCol w:w="790"/>
      </w:tblGrid>
      <w:tr w:rsidR="007F1D4D" w:rsidRPr="00E66A6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>Α/Α</w:t>
            </w:r>
          </w:p>
        </w:tc>
        <w:tc>
          <w:tcPr>
            <w:tcW w:w="7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proofErr w:type="spellStart"/>
            <w:r w:rsidRPr="00E66A60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>Περιγρ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>αφή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CSI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ind w:left="1026" w:hanging="1026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>ΤΜΧ.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Express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Server - Named User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Internet Application Server Enterprise Edition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Advanced Security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Diagnostics Pack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Tuning Pack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Programmer - Named User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Financials &amp; Sales Analyzers - Application User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Discoverer Desktop Edition - Named User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Database Standard Edition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Database Enterprise Edition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Internet Application Server Enterprise Edition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Oracle Internet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Developer Suite - Named User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</w:tr>
      <w:tr w:rsidR="007F1D4D" w:rsidRPr="00E66A60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Database Standard Edition - Processor Perpetual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7F1D4D" w:rsidRPr="00E66A60" w:rsidRDefault="00227A9E">
      <w:pPr>
        <w:spacing w:before="120" w:after="1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>Οι αιτούμενες υπηρεσίες συνίστανται σε:</w:t>
      </w:r>
    </w:p>
    <w:p w:rsidR="007F1D4D" w:rsidRPr="00E66A60" w:rsidRDefault="00227A9E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Α. Ανανέωση Αδειών Χρήσης - Ενημερώσεις Λογισμικού (Software </w:t>
      </w:r>
      <w:proofErr w:type="spellStart"/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Updates</w:t>
      </w:r>
      <w:proofErr w:type="spellEnd"/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)</w:t>
      </w:r>
    </w:p>
    <w:p w:rsidR="007F1D4D" w:rsidRPr="00E66A60" w:rsidRDefault="00227A9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Οι υπηρεσίες ανανέωσης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αδειών χρήσης και ενημέρωσης λογισμικού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Oracle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παρέχουν στη ΒΟΥΛΗ το δικαίωμα να προβαίνει σε αναβάθμιση των προϊόντων με την παροχή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των νεότερων εκδόσεων και πακέτων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επικαιροποιήσεων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patches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>), τη διατήρηση των αδειών στο τελευταίο διαθέσιμο επίπεδο και τ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ην εξασφάλιση της καλής λειτουργίας τους για όλο το χρονικό διάστημα από </w:t>
      </w:r>
      <w:r w:rsidRPr="00C079BA">
        <w:rPr>
          <w:rFonts w:ascii="Arial Unicode MS" w:eastAsia="Arial Unicode MS" w:hAnsi="Arial Unicode MS" w:cs="Arial Unicode MS"/>
          <w:sz w:val="24"/>
          <w:szCs w:val="24"/>
          <w:u w:val="single"/>
        </w:rPr>
        <w:t>1/1/2018 έως και 31/12/2018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7F1D4D" w:rsidRPr="00E66A60" w:rsidRDefault="00227A9E">
      <w:pPr>
        <w:pStyle w:val="1"/>
        <w:numPr>
          <w:ilvl w:val="1"/>
          <w:numId w:val="0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>Συνίστανται δε ειδικότερα σε:</w:t>
      </w:r>
    </w:p>
    <w:p w:rsidR="007F1D4D" w:rsidRPr="00E66A60" w:rsidRDefault="00227A9E">
      <w:pPr>
        <w:pStyle w:val="1"/>
        <w:numPr>
          <w:ilvl w:val="0"/>
          <w:numId w:val="6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Ενημερώσεις προγράμματος, επιδιορθώσεις, ειδοποιήσεις ασφάλειας και κρίσιμες ενημερώσεις κώδικα </w:t>
      </w:r>
    </w:p>
    <w:p w:rsidR="007F1D4D" w:rsidRPr="00E66A60" w:rsidRDefault="00227A9E">
      <w:pPr>
        <w:pStyle w:val="1"/>
        <w:numPr>
          <w:ilvl w:val="0"/>
          <w:numId w:val="6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Φορολογικές, νομικές και κανονιστικές ενημερώσεις </w:t>
      </w:r>
    </w:p>
    <w:p w:rsidR="007F1D4D" w:rsidRPr="00E66A60" w:rsidRDefault="00227A9E">
      <w:pPr>
        <w:pStyle w:val="1"/>
        <w:numPr>
          <w:ilvl w:val="0"/>
          <w:numId w:val="6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Σενάρια αναβάθμισης </w:t>
      </w:r>
    </w:p>
    <w:p w:rsidR="007F1D4D" w:rsidRPr="00E66A60" w:rsidRDefault="00227A9E">
      <w:pPr>
        <w:pStyle w:val="1"/>
        <w:numPr>
          <w:ilvl w:val="0"/>
          <w:numId w:val="6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Πιστοποίηση με τα περισσότερα νέα προϊόντα ή τις εκδόσεις τρίτων </w:t>
      </w:r>
    </w:p>
    <w:p w:rsidR="007F1D4D" w:rsidRPr="00E66A60" w:rsidRDefault="00227A9E">
      <w:pPr>
        <w:pStyle w:val="1"/>
        <w:numPr>
          <w:ilvl w:val="0"/>
          <w:numId w:val="6"/>
        </w:numPr>
        <w:tabs>
          <w:tab w:val="left" w:pos="567"/>
        </w:tabs>
        <w:spacing w:line="40" w:lineRule="atLeast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>Κύριες εκδόσεις προϊόντος και τεχνολογίας, οι οποίες περιλαμβάνουν γενικές εκδόσεις για τη συντήρηση, εκδόσεις επιλεγμ</w:t>
      </w:r>
      <w:r w:rsidRPr="00E66A60">
        <w:rPr>
          <w:rFonts w:ascii="Arial Unicode MS" w:eastAsia="Arial Unicode MS" w:hAnsi="Arial Unicode MS" w:cs="Arial Unicode MS"/>
          <w:szCs w:val="24"/>
        </w:rPr>
        <w:t>ένης λειτουργικότητας και ενημερώσεις τεκμηρίωσης.</w:t>
      </w:r>
    </w:p>
    <w:p w:rsidR="007F1D4D" w:rsidRPr="00E66A60" w:rsidRDefault="007F1D4D">
      <w:pPr>
        <w:pStyle w:val="a3"/>
        <w:tabs>
          <w:tab w:val="left" w:pos="9637"/>
        </w:tabs>
        <w:spacing w:after="0"/>
        <w:ind w:right="0"/>
        <w:rPr>
          <w:rFonts w:ascii="Arial Unicode MS" w:eastAsia="Arial Unicode MS" w:hAnsi="Arial Unicode MS" w:cs="Arial Unicode MS"/>
          <w:szCs w:val="24"/>
        </w:rPr>
      </w:pPr>
    </w:p>
    <w:p w:rsidR="007F1D4D" w:rsidRPr="00E66A60" w:rsidRDefault="00227A9E">
      <w:pPr>
        <w:pStyle w:val="a3"/>
        <w:tabs>
          <w:tab w:val="left" w:pos="9637"/>
        </w:tabs>
        <w:ind w:right="-2"/>
        <w:rPr>
          <w:rFonts w:ascii="Arial Unicode MS" w:eastAsia="Arial Unicode MS" w:hAnsi="Arial Unicode MS" w:cs="Arial Unicode MS"/>
          <w:b/>
          <w:szCs w:val="24"/>
          <w:u w:val="single"/>
        </w:rPr>
      </w:pPr>
      <w:r w:rsidRPr="00E66A60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Β. Παροχή υπηρεσιών τεχνικής υποστήριξης για τις άδειες χρήσης λογισμικού </w:t>
      </w:r>
      <w:r w:rsidRPr="00E66A60">
        <w:rPr>
          <w:rFonts w:ascii="Arial Unicode MS" w:eastAsia="Arial Unicode MS" w:hAnsi="Arial Unicode MS" w:cs="Arial Unicode MS"/>
          <w:b/>
          <w:szCs w:val="24"/>
          <w:u w:val="single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.  </w:t>
      </w:r>
    </w:p>
    <w:p w:rsidR="007F1D4D" w:rsidRPr="00E66A60" w:rsidRDefault="00227A9E">
      <w:pPr>
        <w:pStyle w:val="a3"/>
        <w:tabs>
          <w:tab w:val="left" w:pos="9637"/>
        </w:tabs>
        <w:ind w:right="-2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Ειδικότερα, οι υπηρεσίες τεχνικής υποστήριξης περιλαμβάνουν: </w:t>
      </w:r>
    </w:p>
    <w:p w:rsidR="007F1D4D" w:rsidRPr="00E66A60" w:rsidRDefault="00227A9E">
      <w:pPr>
        <w:pStyle w:val="1"/>
        <w:numPr>
          <w:ilvl w:val="1"/>
          <w:numId w:val="3"/>
        </w:numPr>
        <w:tabs>
          <w:tab w:val="left" w:pos="567"/>
        </w:tabs>
        <w:spacing w:line="40" w:lineRule="atLeast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Την υπηρεσία ενημερώσεων λογισμικού (Software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Updates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), η οποία παρέχει στη ΒΟΥΛΗ άδεια χρήσης των τελευταίων εκδόσεων των προϊόντων της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Oracle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και </w:t>
      </w:r>
    </w:p>
    <w:p w:rsidR="007F1D4D" w:rsidRPr="00E66A60" w:rsidRDefault="00227A9E">
      <w:pPr>
        <w:pStyle w:val="1"/>
        <w:numPr>
          <w:ilvl w:val="1"/>
          <w:numId w:val="3"/>
        </w:numPr>
        <w:tabs>
          <w:tab w:val="left" w:pos="567"/>
        </w:tabs>
        <w:spacing w:line="40" w:lineRule="atLeast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>Την υπηρεσία τεχνικής υποστήριξης (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Product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Support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>), η οποία παρέχει στη ΒΟΥΛΗ υποστήριξη σε όλα τα προϊόντ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α του αναδόχου μέσω τηλεφώνου ή μέσω της χρήσης του εργαλείου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My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Support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(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MOS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),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εικοσιτέσσερις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(24) ώρες την ημέρα, εφτά (7) ημέρες την εβδομάδα. </w:t>
      </w:r>
    </w:p>
    <w:p w:rsidR="007F1D4D" w:rsidRPr="00E66A60" w:rsidRDefault="007F1D4D">
      <w:pPr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F1D4D" w:rsidRPr="00E66A60" w:rsidRDefault="00227A9E">
      <w:pPr>
        <w:pStyle w:val="a3"/>
        <w:ind w:right="139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Επιπροσθέτως, οι υπηρεσίες τεχνικής υποστήριξης θα επιτρέπουν στη ΒΟΥΛΗ να έχει πρόσβαση στο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Oracle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W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eb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Cs w:val="24"/>
          <w:lang w:val="en-US"/>
        </w:rPr>
        <w:t>Conference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, ένα εργαλείο το οποίο παρέχει άμεση σύνδεση σε συστήματα πελατών, επιτρέποντας στον νόμιμο δικαιούχο (κατασκευαστή) να παρέχει τις υπηρεσίες του και να επιλύει προβλήματα on –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line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7F1D4D" w:rsidRPr="00E66A60" w:rsidRDefault="00227A9E" w:rsidP="00C079B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>Η Τεχνική Υποστήριξη συνίσταται σε υπηρεσίες Τεχνικής Υποσ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τ</w:t>
      </w:r>
      <w:r w:rsidR="00C079BA">
        <w:rPr>
          <w:rFonts w:ascii="Arial Unicode MS" w:eastAsia="Arial Unicode MS" w:hAnsi="Arial Unicode MS" w:cs="Arial Unicode MS"/>
          <w:sz w:val="24"/>
          <w:szCs w:val="24"/>
        </w:rPr>
        <w:t xml:space="preserve">ήριξης όπως αυτές περιγράφονται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στα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Technical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Support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Policies</w:t>
      </w:r>
      <w:r w:rsidR="00C079BA" w:rsidRPr="00C079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www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com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us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support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/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library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/057419.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pdf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7F1D4D" w:rsidRPr="00E66A60" w:rsidRDefault="007F1D4D">
      <w:pPr>
        <w:pStyle w:val="31"/>
        <w:rPr>
          <w:rFonts w:ascii="Arial Unicode MS" w:eastAsia="Arial Unicode MS" w:hAnsi="Arial Unicode MS" w:cs="Arial Unicode MS"/>
          <w:szCs w:val="24"/>
        </w:rPr>
      </w:pPr>
    </w:p>
    <w:p w:rsidR="007F1D4D" w:rsidRPr="00E66A60" w:rsidRDefault="00227A9E">
      <w:pPr>
        <w:pStyle w:val="31"/>
        <w:rPr>
          <w:rFonts w:ascii="Arial Unicode MS" w:eastAsia="Arial Unicode MS" w:hAnsi="Arial Unicode MS" w:cs="Arial Unicode MS"/>
          <w:b w:val="0"/>
          <w:szCs w:val="24"/>
        </w:rPr>
      </w:pPr>
      <w:r w:rsidRPr="00E66A60">
        <w:rPr>
          <w:rFonts w:ascii="Arial Unicode MS" w:eastAsia="Arial Unicode MS" w:hAnsi="Arial Unicode MS" w:cs="Arial Unicode MS"/>
          <w:b w:val="0"/>
          <w:szCs w:val="24"/>
        </w:rPr>
        <w:t>Στόχος των υπηρεσιών Τεχνικής Υποστήριξης είναι η εξασφάλιση της καλής λειτουργίας των προϊόντων, η άμεση ανταπόκριση του αναδόχου σε αν</w:t>
      </w:r>
      <w:r w:rsidRPr="00E66A60">
        <w:rPr>
          <w:rFonts w:ascii="Arial Unicode MS" w:eastAsia="Arial Unicode MS" w:hAnsi="Arial Unicode MS" w:cs="Arial Unicode MS"/>
          <w:b w:val="0"/>
          <w:szCs w:val="24"/>
        </w:rPr>
        <w:t>αγγελίες προβλημάτων και η αποκατάσταση των βλαβών/ προβλημάτων των προϊόντων. Ο ανάδοχος εγγυάται ότι θα παράσχει στην ΒΟΥΛΗ υπηρεσίες υψηλού επιπέδου που αναλύονται παρακάτω:</w:t>
      </w:r>
    </w:p>
    <w:p w:rsidR="007F1D4D" w:rsidRPr="00E66A60" w:rsidRDefault="007F1D4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F1D4D" w:rsidRPr="00E66A60" w:rsidRDefault="00227A9E">
      <w:pPr>
        <w:pStyle w:val="a3"/>
        <w:ind w:right="4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 xml:space="preserve">Οι </w:t>
      </w:r>
      <w:r w:rsidRPr="00E66A60">
        <w:rPr>
          <w:rFonts w:ascii="Arial Unicode MS" w:eastAsia="Arial Unicode MS" w:hAnsi="Arial Unicode MS" w:cs="Arial Unicode MS"/>
          <w:szCs w:val="24"/>
        </w:rPr>
        <w:t>υπηρεσί</w:t>
      </w:r>
      <w:r w:rsidR="004E2838">
        <w:rPr>
          <w:rFonts w:ascii="Arial Unicode MS" w:eastAsia="Arial Unicode MS" w:hAnsi="Arial Unicode MS" w:cs="Arial Unicode MS"/>
          <w:szCs w:val="24"/>
        </w:rPr>
        <w:t xml:space="preserve">ες </w:t>
      </w:r>
      <w:r w:rsidRPr="00E66A60">
        <w:rPr>
          <w:rFonts w:ascii="Arial Unicode MS" w:eastAsia="Arial Unicode MS" w:hAnsi="Arial Unicode MS" w:cs="Arial Unicode MS"/>
          <w:szCs w:val="24"/>
        </w:rPr>
        <w:t>τεχνικής υποστήριξης του αναδόχου θα παρέχουν εξειδικευμένη τεχνι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κή βοήθεια σε σχέση με την εγκατάσταση και διαχείριση των προϊόντων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Oracle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>, διατηρώντας συγχρόνως τα Πληροφοριακά Συστήματα της ΒΟΥΛΗΣ λειτουργικά και αξιόπιστα. Μέσω της υπηρεσίας θα προσφέρεται επίλυση προβλημάτων και τεχνική καθοδήγηση από  εξειδικευμέν</w:t>
      </w:r>
      <w:r w:rsidRPr="00E66A60">
        <w:rPr>
          <w:rFonts w:ascii="Arial Unicode MS" w:eastAsia="Arial Unicode MS" w:hAnsi="Arial Unicode MS" w:cs="Arial Unicode MS"/>
          <w:szCs w:val="24"/>
        </w:rPr>
        <w:t>ο τεχνικό προσωπικό του αναδόχου, μέσω τηλεφώνου ή μέσω διαδικτύου (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web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)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εικοσιτέσσερις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(24) ώρες την ημέρα, εφτά (7) ημέρες την εβδομάδα.</w:t>
      </w:r>
    </w:p>
    <w:p w:rsidR="007F1D4D" w:rsidRPr="00E66A60" w:rsidRDefault="00227A9E">
      <w:pPr>
        <w:pStyle w:val="a3"/>
        <w:ind w:right="4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>Όλες οι αιτήσεις για τεχνική υποστήριξη οι οποίες καταγράφονται μέσω διαδικτύου ή τηλεφώνου καταχωρούνται, παρακολουθ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ούνται, επιλύονται και κλείνουν μόνο μετά από έγκριση της ΒΟΥΛΗ. </w:t>
      </w:r>
    </w:p>
    <w:p w:rsidR="007F1D4D" w:rsidRPr="00E66A60" w:rsidRDefault="00227A9E">
      <w:pPr>
        <w:pStyle w:val="a3"/>
        <w:ind w:right="4"/>
        <w:rPr>
          <w:rStyle w:val="Tahoma"/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Cs w:val="24"/>
        </w:rPr>
        <w:t>Οι αιτήσεις για τεχνική υποστήριξη ιεραρχούνται με βάση συγκεκριμένα επίπεδα σημαντικότητας (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severity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Cs w:val="24"/>
        </w:rPr>
        <w:t>level</w:t>
      </w:r>
      <w:proofErr w:type="spellEnd"/>
      <w:r w:rsidRPr="00E66A60">
        <w:rPr>
          <w:rFonts w:ascii="Arial Unicode MS" w:eastAsia="Arial Unicode MS" w:hAnsi="Arial Unicode MS" w:cs="Arial Unicode MS"/>
          <w:szCs w:val="24"/>
        </w:rPr>
        <w:t>), τα οποία καθορίζονται σύμφωνα με την επίδραση του προβλήματος στην ομαλή λειτουρ</w:t>
      </w:r>
      <w:r w:rsidRPr="00E66A60">
        <w:rPr>
          <w:rFonts w:ascii="Arial Unicode MS" w:eastAsia="Arial Unicode MS" w:hAnsi="Arial Unicode MS" w:cs="Arial Unicode MS"/>
          <w:szCs w:val="24"/>
        </w:rPr>
        <w:t>γία του συστήματος της ΒΟΥΛΗ</w:t>
      </w:r>
      <w:r w:rsidR="004E2838">
        <w:rPr>
          <w:rFonts w:ascii="Arial Unicode MS" w:eastAsia="Arial Unicode MS" w:hAnsi="Arial Unicode MS" w:cs="Arial Unicode MS"/>
          <w:szCs w:val="24"/>
        </w:rPr>
        <w:t>Σ</w:t>
      </w:r>
      <w:r w:rsidRPr="00E66A60">
        <w:rPr>
          <w:rFonts w:ascii="Arial Unicode MS" w:eastAsia="Arial Unicode MS" w:hAnsi="Arial Unicode MS" w:cs="Arial Unicode MS"/>
          <w:szCs w:val="24"/>
        </w:rPr>
        <w:t xml:space="preserve"> Υπηρεσίες Τεχνικής Υποστήριξης της περιόδου συντήρησης</w:t>
      </w:r>
    </w:p>
    <w:p w:rsidR="007F1D4D" w:rsidRPr="00E66A60" w:rsidRDefault="00227A9E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</w:pP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Πρόσβαση</w:t>
      </w: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  <w:t xml:space="preserve"> </w:t>
      </w: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στο</w:t>
      </w: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  <w:t xml:space="preserve"> </w:t>
      </w: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Μ</w:t>
      </w: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US"/>
        </w:rPr>
        <w:t>y Oracle Support (MOS)</w:t>
      </w:r>
    </w:p>
    <w:p w:rsidR="007F1D4D" w:rsidRPr="00E66A60" w:rsidRDefault="00227A9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Το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My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Oracle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Support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(MOS)  είναι ένα Web-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based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σύστημα, στο οποίο η ΒΟΥΛΗ θα μπορεί να συνδεθεί και να έχει πρόσβαση σε: τεχνικές Πληροφορίες, Πληροφορίες για τις τελευταίες εκδόσεις,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Τechnical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Support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Knowledge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Base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White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Papers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>, τεχνικά FORUM για τα πρ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οϊόντα του αναδόχου. Η υποστήριξη μέσω MOS  περιλαμβάνει την καταγραφή της περιγραφής του προβλήματός, μαζί  με  κάθε άλλη χρήσιμη πληροφορία μέσω του MOS και της διαδικασίας του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Service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Request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(SR). </w:t>
      </w:r>
    </w:p>
    <w:p w:rsidR="007F1D4D" w:rsidRDefault="007F1D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E2838" w:rsidRPr="00E66A60" w:rsidRDefault="004E283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F1D4D" w:rsidRPr="00E66A60" w:rsidRDefault="00227A9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lastRenderedPageBreak/>
        <w:t>Μέσω του MOS η ΒΟΥΛΗ δύναται:</w:t>
      </w:r>
    </w:p>
    <w:p w:rsidR="007F1D4D" w:rsidRPr="00E66A60" w:rsidRDefault="00227A9E">
      <w:pPr>
        <w:pStyle w:val="a4"/>
        <w:numPr>
          <w:ilvl w:val="0"/>
          <w:numId w:val="8"/>
        </w:numPr>
        <w:tabs>
          <w:tab w:val="left" w:pos="284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>Να καταγράφει, ενημερών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ει και ελέγχει την κατάσταση του αιτήματός της (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Service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Request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7F1D4D" w:rsidRPr="00E66A60" w:rsidRDefault="00227A9E">
      <w:pPr>
        <w:pStyle w:val="a4"/>
        <w:numPr>
          <w:ilvl w:val="0"/>
          <w:numId w:val="10"/>
        </w:numPr>
        <w:tabs>
          <w:tab w:val="left" w:pos="284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>Να ανατρέχει στην ηλεκτρονική βιβλιοθήκη που υπάρχει για τα τεχνικά θέματα και για τα προγράμματα έκδοσης προϊόντων (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product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releases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schedules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7F1D4D" w:rsidRPr="00E66A60" w:rsidRDefault="00227A9E">
      <w:pPr>
        <w:pStyle w:val="a4"/>
        <w:numPr>
          <w:ilvl w:val="0"/>
          <w:numId w:val="8"/>
        </w:numPr>
        <w:tabs>
          <w:tab w:val="left" w:pos="284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Να έχει πρόσβαση σε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διαδραστικά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interactive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forums</w:t>
      </w:r>
      <w:proofErr w:type="spellEnd"/>
    </w:p>
    <w:p w:rsidR="007F1D4D" w:rsidRPr="00E66A60" w:rsidRDefault="00227A9E">
      <w:pPr>
        <w:pStyle w:val="a4"/>
        <w:numPr>
          <w:ilvl w:val="0"/>
          <w:numId w:val="10"/>
        </w:numPr>
        <w:tabs>
          <w:tab w:val="left" w:pos="284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Να αναζητά λύσεις στην βιβλιοθήκη πληροφοριών του αναδόχου, να ανακτά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patches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>, να ανασκοπεί την τεκμηρίωση που αφορά σε τεχνικές υπηρεσίες και προϊόντα και να λαμβάνει ανακοινώσεις για τεχνικά θέματα μέσω ηλεκτρονικού ταχυδρομείου (email).</w:t>
      </w:r>
    </w:p>
    <w:p w:rsidR="007F1D4D" w:rsidRPr="00E66A60" w:rsidRDefault="00227A9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>Οι ισχύου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σες πρακτικές της Τεχνικής Υποστήριξης θα επισυνάπτονται στην προσφορά του αναδόχου  και θα παραμείνουν σταθερές για ένα (1) έτος </w:t>
      </w:r>
      <w:proofErr w:type="spellStart"/>
      <w:r w:rsidRPr="00E66A60">
        <w:rPr>
          <w:rFonts w:ascii="Arial Unicode MS" w:eastAsia="Arial Unicode MS" w:hAnsi="Arial Unicode MS" w:cs="Arial Unicode MS"/>
          <w:sz w:val="24"/>
          <w:szCs w:val="24"/>
        </w:rPr>
        <w:t>προσμετρούμενο</w:t>
      </w:r>
      <w:proofErr w:type="spellEnd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από την ημερομηνία υπογραφής της σύμβασης.</w:t>
      </w:r>
    </w:p>
    <w:p w:rsidR="007F1D4D" w:rsidRPr="00E66A60" w:rsidRDefault="007F1D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F1D4D" w:rsidRPr="00E66A60" w:rsidRDefault="00227A9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Χρόνοι επίλυσης προβλημάτων / Διαθεσιμότητα</w:t>
      </w:r>
    </w:p>
    <w:p w:rsidR="007F1D4D" w:rsidRPr="00E66A60" w:rsidRDefault="00227A9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Ο ανάδοχος οφείλει να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διαθέτει σε ετοιμότητα τεχνικό προσωπικό (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Help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Desk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), η εμπειρία του οποίου είναι ευθύνη του αναδόχου, ώστε να εξασφαλίζει στα απαιτούμενα χρονικά διαστήματα, την αποκατάσταση προβλημάτων/ βλαβών. Ως εκ τούτου, ο ανάδοχος θα παρέχει πρόσβαση για την άμεση 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αναφορά των προβλημάτων στα συστήματα του (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My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ORACLE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Support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E66A60">
        <w:rPr>
          <w:rFonts w:ascii="Arial Unicode MS" w:eastAsia="Arial Unicode MS" w:hAnsi="Arial Unicode MS" w:cs="Arial Unicode MS"/>
          <w:sz w:val="24"/>
          <w:szCs w:val="24"/>
          <w:lang w:val="en-US"/>
        </w:rPr>
        <w:t>MOS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), επί τη βάσει 24 ώρες επί 7 ημέρες. Η βλάβη θα αναφέρεται είτε τηλεφωνικά είτε μέσα από τις ιστοσελίδες υποστήριξης που παρέχει ο ανάδοχος. </w:t>
      </w:r>
      <w:r w:rsidR="00730964">
        <w:rPr>
          <w:rFonts w:ascii="Arial Unicode MS" w:eastAsia="Arial Unicode MS" w:hAnsi="Arial Unicode MS" w:cs="Arial Unicode MS"/>
          <w:sz w:val="24"/>
          <w:szCs w:val="24"/>
        </w:rPr>
        <w:t>Η ΒΟΥΛΗ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, κάνοντας χρήση των ως άνω συστημάτω</w:t>
      </w:r>
      <w:r w:rsidRPr="00E66A60">
        <w:rPr>
          <w:rFonts w:ascii="Arial Unicode MS" w:eastAsia="Arial Unicode MS" w:hAnsi="Arial Unicode MS" w:cs="Arial Unicode MS"/>
          <w:sz w:val="24"/>
          <w:szCs w:val="24"/>
        </w:rPr>
        <w:t>ν, 24 ώρες επί 7 ημέρες, θα έχει χρόνο απόκρισης στο καταγεγραμμένο πρόβλημα τ</w:t>
      </w:r>
      <w:r w:rsidR="00730964">
        <w:rPr>
          <w:rFonts w:ascii="Arial Unicode MS" w:eastAsia="Arial Unicode MS" w:hAnsi="Arial Unicode MS" w:cs="Arial Unicode MS"/>
          <w:sz w:val="24"/>
          <w:szCs w:val="24"/>
        </w:rPr>
        <w:t>ης</w:t>
      </w:r>
      <w:bookmarkStart w:id="0" w:name="_GoBack"/>
      <w:bookmarkEnd w:id="0"/>
      <w:r w:rsidRPr="00E66A60">
        <w:rPr>
          <w:rFonts w:ascii="Arial Unicode MS" w:eastAsia="Arial Unicode MS" w:hAnsi="Arial Unicode MS" w:cs="Arial Unicode MS"/>
          <w:sz w:val="24"/>
          <w:szCs w:val="24"/>
        </w:rPr>
        <w:t xml:space="preserve">, κατ’ ανώτατο εντός δύο (2) ωρών. </w:t>
      </w:r>
    </w:p>
    <w:p w:rsidR="007F1D4D" w:rsidRDefault="007F1D4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30964" w:rsidRDefault="0073096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30964" w:rsidRDefault="0073096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30964" w:rsidRDefault="0073096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30964" w:rsidRDefault="0073096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30964" w:rsidRPr="00E66A60" w:rsidRDefault="0073096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F1D4D" w:rsidRPr="00E66A60" w:rsidRDefault="00227A9E">
      <w:pPr>
        <w:pStyle w:val="3"/>
        <w:tabs>
          <w:tab w:val="left" w:pos="1194"/>
        </w:tabs>
        <w:spacing w:before="120" w:after="120"/>
        <w:ind w:left="834" w:hanging="720"/>
        <w:rPr>
          <w:rFonts w:ascii="Arial Unicode MS" w:eastAsia="Arial Unicode MS" w:hAnsi="Arial Unicode MS" w:cs="Arial Unicode MS"/>
          <w:szCs w:val="24"/>
        </w:rPr>
      </w:pPr>
      <w:r w:rsidRPr="00E66A60">
        <w:rPr>
          <w:rFonts w:ascii="Arial Unicode MS" w:eastAsia="Arial Unicode MS" w:hAnsi="Arial Unicode MS" w:cs="Arial Unicode MS"/>
          <w:b/>
          <w:szCs w:val="24"/>
          <w:u w:val="single"/>
        </w:rPr>
        <w:lastRenderedPageBreak/>
        <w:t>ΠΙΝΑΚAΣ  ΟΙΚΟΝΟΜΙΚΗΣ  ΠΡΟΣΦΟΡΑΣ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03"/>
        <w:gridCol w:w="3138"/>
        <w:gridCol w:w="1284"/>
        <w:gridCol w:w="790"/>
        <w:gridCol w:w="1189"/>
        <w:gridCol w:w="1173"/>
        <w:gridCol w:w="1173"/>
      </w:tblGrid>
      <w:tr w:rsidR="007F1D4D" w:rsidRPr="00E66A60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Α/Α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Περιγρ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αφή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CSI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ΤΜΧ.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Τιμή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Μονάδος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br/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χωρίς ΦΠΑ €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Συνολική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Τιμή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br/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χωρίς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br/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ΦΠΑ €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227A9E">
            <w:pPr>
              <w:widowControl/>
              <w:suppressAutoHyphens w:val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</w:pP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Συνολική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Τιμή</w:t>
            </w:r>
            <w:proofErr w:type="spellEnd"/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br/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με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br/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eastAsia="en-US"/>
              </w:rPr>
              <w:t>ΦΠΑ (24%) €</w:t>
            </w:r>
          </w:p>
        </w:tc>
      </w:tr>
      <w:tr w:rsidR="007F1D4D" w:rsidRPr="00E66A60">
        <w:trPr>
          <w:trHeight w:val="36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Express Server - Named User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75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Internet Application Server Enterprise Edition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Advanced Security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413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Oracle Diagnostics Pack - Processor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35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Tuning Pack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Programmer - Named User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57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Financials &amp; Sales Analyzers - Application User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62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Oracle Discoverer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Desktop Edition - Named User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3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Database Standard Edition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69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Oracle Database Enterprise Edition -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lastRenderedPageBreak/>
              <w:t>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lastRenderedPageBreak/>
              <w:t>83147765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 xml:space="preserve">Oracle Internet Application Server Enterprise </w:t>
            </w: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Edition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1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Internet Developer Suite - Named User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  <w:tr w:rsidR="007F1D4D" w:rsidRPr="00E66A60">
        <w:trPr>
          <w:trHeight w:val="512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Oracle Database Standard Edition - Processor Perpetual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83147766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F1D4D" w:rsidRPr="00E66A60" w:rsidRDefault="00227A9E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  <w:r w:rsidRPr="00E66A60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D4D" w:rsidRPr="00E66A60" w:rsidRDefault="007F1D4D">
            <w:pPr>
              <w:widowControl/>
              <w:suppressAutoHyphens w:val="0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</w:pPr>
          </w:p>
        </w:tc>
      </w:tr>
    </w:tbl>
    <w:p w:rsidR="007F1D4D" w:rsidRPr="00E66A60" w:rsidRDefault="007F1D4D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7F1D4D" w:rsidRPr="00E66A60"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9E" w:rsidRDefault="00227A9E">
      <w:r>
        <w:separator/>
      </w:r>
    </w:p>
  </w:endnote>
  <w:endnote w:type="continuationSeparator" w:id="0">
    <w:p w:rsidR="00227A9E" w:rsidRDefault="0022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4D" w:rsidRDefault="00227A9E">
    <w:pPr>
      <w:pStyle w:val="a6"/>
      <w:jc w:val="right"/>
    </w:pPr>
    <w:r>
      <w:fldChar w:fldCharType="begin"/>
    </w:r>
    <w:r>
      <w:instrText>PAGE \* MERGEFORMAT</w:instrText>
    </w:r>
    <w:r>
      <w:fldChar w:fldCharType="separate"/>
    </w:r>
    <w:r w:rsidR="00730964">
      <w:rPr>
        <w:noProof/>
      </w:rPr>
      <w:t>6</w:t>
    </w:r>
    <w:r>
      <w:fldChar w:fldCharType="end"/>
    </w:r>
  </w:p>
  <w:p w:rsidR="007F1D4D" w:rsidRDefault="007F1D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9E" w:rsidRDefault="00227A9E">
      <w:r>
        <w:separator/>
      </w:r>
    </w:p>
  </w:footnote>
  <w:footnote w:type="continuationSeparator" w:id="0">
    <w:p w:rsidR="00227A9E" w:rsidRDefault="0022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4A059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pStyle w:val="1"/>
      <w:lvlText w:val=""/>
      <w:lvlJc w:val="left"/>
      <w:pPr>
        <w:ind w:left="17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" w15:restartNumberingAfterBreak="0">
    <w:nsid w:val="0000001B"/>
    <w:multiLevelType w:val="multilevel"/>
    <w:tmpl w:val="1A429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1E"/>
    <w:multiLevelType w:val="multilevel"/>
    <w:tmpl w:val="66FEB762"/>
    <w:lvl w:ilvl="0">
      <w:start w:val="1"/>
      <w:numFmt w:val="bullet"/>
      <w:lvlText w:val=""/>
      <w:lvlJc w:val="left"/>
      <w:pPr>
        <w:ind w:left="283" w:hanging="283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1C57F8"/>
    <w:multiLevelType w:val="hybridMultilevel"/>
    <w:tmpl w:val="9FFE3B46"/>
    <w:lvl w:ilvl="0" w:tplc="32A0AB80">
      <w:start w:val="1"/>
      <w:numFmt w:val="bullet"/>
      <w:lvlText w:val="•"/>
      <w:lvlJc w:val="left"/>
      <w:pPr>
        <w:ind w:left="0" w:firstLine="0"/>
      </w:pPr>
      <w:rPr>
        <w:rFonts w:ascii="Calibri" w:hAnsi="Calibri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AA616CF"/>
    <w:multiLevelType w:val="hybridMultilevel"/>
    <w:tmpl w:val="3C086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C702E3"/>
    <w:multiLevelType w:val="hybridMultilevel"/>
    <w:tmpl w:val="D7985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087922"/>
    <w:multiLevelType w:val="hybridMultilevel"/>
    <w:tmpl w:val="1D721A56"/>
    <w:lvl w:ilvl="0" w:tplc="84702E3E">
      <w:start w:val="1"/>
      <w:numFmt w:val="bullet"/>
      <w:lvlText w:val="•"/>
      <w:lvlJc w:val="left"/>
      <w:pPr>
        <w:ind w:left="284" w:hanging="284"/>
      </w:pPr>
      <w:rPr>
        <w:rFonts w:ascii="Calibri" w:hAnsi="Calibri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8AD6A3F"/>
    <w:multiLevelType w:val="hybridMultilevel"/>
    <w:tmpl w:val="7A3CCA2E"/>
    <w:lvl w:ilvl="0" w:tplc="7082B57E">
      <w:start w:val="1"/>
      <w:numFmt w:val="bullet"/>
      <w:lvlText w:val="•"/>
      <w:lvlJc w:val="left"/>
      <w:pPr>
        <w:ind w:left="720" w:hanging="360"/>
      </w:pPr>
      <w:rPr>
        <w:rFonts w:ascii="Calibri" w:hAnsi="Calibri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E6C6C"/>
    <w:multiLevelType w:val="hybridMultilevel"/>
    <w:tmpl w:val="A09E3FD6"/>
    <w:lvl w:ilvl="0" w:tplc="3F7871D2">
      <w:start w:val="1"/>
      <w:numFmt w:val="bullet"/>
      <w:lvlText w:val="•"/>
      <w:lvlJc w:val="left"/>
      <w:pPr>
        <w:ind w:left="720" w:hanging="720"/>
      </w:pPr>
      <w:rPr>
        <w:rFonts w:ascii="Calibri" w:hAnsi="Calibri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8402F8F"/>
    <w:multiLevelType w:val="hybridMultilevel"/>
    <w:tmpl w:val="E6088218"/>
    <w:lvl w:ilvl="0" w:tplc="33F22E62">
      <w:start w:val="1"/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D4D"/>
    <w:rsid w:val="00227A9E"/>
    <w:rsid w:val="004E2838"/>
    <w:rsid w:val="00730964"/>
    <w:rsid w:val="007F1D4D"/>
    <w:rsid w:val="00C079BA"/>
    <w:rsid w:val="00E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1D47-AFC6-4386-B4D5-79B0D1F8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lang w:val="el-GR" w:eastAsia="zh-CN"/>
    </w:rPr>
  </w:style>
  <w:style w:type="paragraph" w:styleId="2">
    <w:name w:val="heading 2"/>
    <w:basedOn w:val="a"/>
    <w:next w:val="a"/>
    <w:link w:val="2Char"/>
    <w:semiHidden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tabs>
        <w:tab w:val="left" w:pos="142"/>
        <w:tab w:val="left" w:pos="288"/>
        <w:tab w:val="left" w:pos="709"/>
        <w:tab w:val="left" w:pos="3312"/>
        <w:tab w:val="left" w:pos="3888"/>
        <w:tab w:val="decimal" w:pos="5040"/>
      </w:tabs>
      <w:spacing w:after="240"/>
      <w:ind w:right="902"/>
      <w:jc w:val="both"/>
    </w:pPr>
    <w:rPr>
      <w:rFonts w:ascii="Arial" w:hAnsi="Arial"/>
      <w:sz w:val="24"/>
    </w:rPr>
  </w:style>
  <w:style w:type="paragraph" w:customStyle="1" w:styleId="31">
    <w:name w:val="Σώμα κείμενου 31"/>
    <w:basedOn w:val="a"/>
    <w:pPr>
      <w:jc w:val="both"/>
    </w:pPr>
    <w:rPr>
      <w:rFonts w:ascii="Arial" w:hAnsi="Arial"/>
      <w:b/>
      <w:sz w:val="24"/>
    </w:rPr>
  </w:style>
  <w:style w:type="paragraph" w:customStyle="1" w:styleId="1">
    <w:name w:val="Λίστα με κουκκίδες1"/>
    <w:basedOn w:val="a"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4"/>
    </w:rPr>
  </w:style>
  <w:style w:type="paragraph" w:customStyle="1" w:styleId="Symvasiparagraphs">
    <w:name w:val="Symvasi_paragraphs"/>
    <w:basedOn w:val="a"/>
    <w:next w:val="a"/>
    <w:pPr>
      <w:tabs>
        <w:tab w:val="left" w:pos="565"/>
        <w:tab w:val="left" w:pos="900"/>
      </w:tabs>
      <w:spacing w:after="120"/>
      <w:ind w:left="565" w:hanging="565"/>
      <w:jc w:val="both"/>
    </w:pPr>
    <w:rPr>
      <w:rFonts w:ascii="Tahoma" w:hAnsi="Tahoma"/>
      <w:sz w:val="2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link w:val="Char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</w:pPr>
  </w:style>
  <w:style w:type="character" w:styleId="a7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Pr>
      <w:rFonts w:ascii="Arial" w:hAnsi="Arial"/>
      <w:sz w:val="24"/>
    </w:rPr>
  </w:style>
  <w:style w:type="character" w:customStyle="1" w:styleId="Tahoma">
    <w:name w:val="Στυλ Tahoma"/>
    <w:basedOn w:val="a0"/>
    <w:rPr>
      <w:rFonts w:ascii="Tahoma" w:hAnsi="Tahoma"/>
      <w:sz w:val="22"/>
    </w:rPr>
  </w:style>
  <w:style w:type="character" w:customStyle="1" w:styleId="Char">
    <w:name w:val="Σώμα κειμένου Char"/>
    <w:basedOn w:val="a0"/>
    <w:link w:val="a3"/>
    <w:rPr>
      <w:rFonts w:ascii="Arial" w:hAnsi="Arial"/>
      <w:sz w:val="24"/>
    </w:rPr>
  </w:style>
  <w:style w:type="character" w:customStyle="1" w:styleId="2Char">
    <w:name w:val="Επικεφαλίδα 2 Char"/>
    <w:basedOn w:val="a0"/>
    <w:link w:val="2"/>
    <w:semiHidden/>
    <w:rPr>
      <w:rFonts w:ascii="Cambria" w:hAnsi="Cambria"/>
      <w:b/>
      <w:color w:val="4F81BD"/>
      <w:sz w:val="26"/>
    </w:rPr>
  </w:style>
  <w:style w:type="character" w:customStyle="1" w:styleId="Char0">
    <w:name w:val="Κεφαλίδα Char"/>
    <w:basedOn w:val="a0"/>
    <w:link w:val="a5"/>
  </w:style>
  <w:style w:type="character" w:customStyle="1" w:styleId="Char1">
    <w:name w:val="Υποσέλιδο Char"/>
    <w:basedOn w:val="a0"/>
    <w:link w:val="a6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Ψαρουδάκης Σταύρος</cp:lastModifiedBy>
  <cp:revision>3</cp:revision>
  <dcterms:created xsi:type="dcterms:W3CDTF">2017-12-14T09:56:00Z</dcterms:created>
  <dcterms:modified xsi:type="dcterms:W3CDTF">2017-12-14T10:00:00Z</dcterms:modified>
</cp:coreProperties>
</file>